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int="eastAsia"/>
          <w:kern w:val="0"/>
          <w:lang w:val="zh-CN"/>
        </w:rPr>
      </w:pPr>
      <w:bookmarkStart w:id="0" w:name="_Toc327863656"/>
      <w:r>
        <w:rPr>
          <w:rFonts w:hint="eastAsia"/>
          <w:kern w:val="0"/>
          <w:lang w:val="zh-CN"/>
        </w:rPr>
        <w:t>《</w:t>
      </w:r>
      <w:r>
        <w:rPr>
          <w:rFonts w:hint="eastAsia"/>
          <w:kern w:val="0"/>
          <w:lang w:val="en-US" w:eastAsia="zh-CN"/>
        </w:rPr>
        <w:t>高等</w:t>
      </w:r>
      <w:r>
        <w:rPr>
          <w:rFonts w:hint="eastAsia"/>
          <w:kern w:val="0"/>
          <w:lang w:val="zh-CN"/>
        </w:rPr>
        <w:t>教育心理学》课程教学大纲</w:t>
      </w:r>
      <w:bookmarkEnd w:id="0"/>
    </w:p>
    <w:tbl>
      <w:tblPr>
        <w:tblStyle w:val="6"/>
        <w:tblW w:w="82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6660"/>
      </w:tblGrid>
      <w:tr>
        <w:tblPrEx>
          <w:tblLayout w:type="fixed"/>
        </w:tblPrEx>
        <w:trPr>
          <w:trHeight w:val="360" w:hRule="atLeast"/>
          <w:jc w:val="center"/>
        </w:trPr>
        <w:tc>
          <w:tcPr>
            <w:tcW w:w="1548" w:type="dxa"/>
            <w:vAlign w:val="top"/>
          </w:tcPr>
          <w:p>
            <w:pPr>
              <w:spacing w:line="360" w:lineRule="auto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课程性质：</w:t>
            </w:r>
          </w:p>
        </w:tc>
        <w:tc>
          <w:tcPr>
            <w:tcW w:w="6660" w:type="dxa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必修</w:t>
            </w:r>
          </w:p>
        </w:tc>
      </w:tr>
      <w:tr>
        <w:tblPrEx>
          <w:tblLayout w:type="fixed"/>
        </w:tblPrEx>
        <w:trPr>
          <w:trHeight w:val="360" w:hRule="atLeast"/>
          <w:jc w:val="center"/>
        </w:trPr>
        <w:tc>
          <w:tcPr>
            <w:tcW w:w="1548" w:type="dxa"/>
            <w:vAlign w:val="top"/>
          </w:tcPr>
          <w:p>
            <w:pPr>
              <w:spacing w:line="360" w:lineRule="auto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教学对象：</w:t>
            </w:r>
          </w:p>
        </w:tc>
        <w:tc>
          <w:tcPr>
            <w:tcW w:w="6660" w:type="dxa"/>
            <w:vAlign w:val="top"/>
          </w:tcPr>
          <w:p>
            <w:pPr>
              <w:spacing w:line="360" w:lineRule="auto"/>
              <w:rPr>
                <w:rFonts w:hint="eastAsia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湖北省高校新教师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548" w:type="dxa"/>
            <w:vAlign w:val="top"/>
          </w:tcPr>
          <w:p>
            <w:pPr>
              <w:spacing w:line="360" w:lineRule="auto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编写单位：</w:t>
            </w:r>
          </w:p>
        </w:tc>
        <w:tc>
          <w:tcPr>
            <w:tcW w:w="6660" w:type="dxa"/>
            <w:vAlign w:val="top"/>
          </w:tcPr>
          <w:p>
            <w:pPr>
              <w:spacing w:line="360" w:lineRule="auto"/>
              <w:rPr>
                <w:rFonts w:hint="eastAsia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/>
                <w:bCs/>
                <w:kern w:val="0"/>
                <w:sz w:val="24"/>
                <w:lang w:val="en-US" w:eastAsia="zh-CN"/>
              </w:rPr>
              <w:t>湖北省高等学校师资培训中心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548" w:type="dxa"/>
            <w:vAlign w:val="top"/>
          </w:tcPr>
          <w:p>
            <w:pPr>
              <w:spacing w:line="360" w:lineRule="auto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编写时间：</w:t>
            </w:r>
          </w:p>
        </w:tc>
        <w:tc>
          <w:tcPr>
            <w:tcW w:w="6660" w:type="dxa"/>
            <w:vAlign w:val="top"/>
          </w:tcPr>
          <w:p>
            <w:pPr>
              <w:spacing w:line="360" w:lineRule="auto"/>
              <w:rPr>
                <w:bCs/>
                <w:kern w:val="0"/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sz w:val="24"/>
              </w:rPr>
              <w:t>年6月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/>
        <w:textAlignment w:val="auto"/>
        <w:outlineLvl w:val="9"/>
        <w:rPr>
          <w:rFonts w:eastAsia="黑体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/>
        <w:textAlignment w:val="auto"/>
        <w:outlineLvl w:val="9"/>
        <w:rPr>
          <w:rFonts w:eastAsia="黑体"/>
          <w:b/>
          <w:bCs/>
          <w:kern w:val="0"/>
          <w:sz w:val="28"/>
          <w:szCs w:val="28"/>
        </w:rPr>
      </w:pPr>
      <w:r>
        <w:rPr>
          <w:rFonts w:eastAsia="黑体"/>
          <w:b/>
          <w:bCs/>
          <w:kern w:val="0"/>
          <w:sz w:val="28"/>
          <w:szCs w:val="28"/>
        </w:rPr>
        <w:t>一、课程说明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rFonts w:eastAsia="仿宋_GB2312"/>
          <w:sz w:val="24"/>
        </w:rPr>
      </w:pPr>
      <w:r>
        <w:rPr>
          <w:rFonts w:eastAsia="黑体"/>
          <w:sz w:val="24"/>
        </w:rPr>
        <w:t>1</w:t>
      </w:r>
      <w:r>
        <w:rPr>
          <w:rFonts w:hint="eastAsia" w:eastAsia="黑体"/>
          <w:sz w:val="24"/>
          <w:lang w:val="en-US" w:eastAsia="zh-CN"/>
        </w:rPr>
        <w:t xml:space="preserve">. </w:t>
      </w:r>
      <w:r>
        <w:rPr>
          <w:rFonts w:eastAsia="黑体"/>
          <w:sz w:val="24"/>
        </w:rPr>
        <w:t>课程简介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360" w:firstLineChars="150"/>
        <w:textAlignment w:val="auto"/>
        <w:outlineLvl w:val="9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>《</w:t>
      </w:r>
      <w:r>
        <w:rPr>
          <w:rFonts w:hint="eastAsia"/>
          <w:kern w:val="0"/>
          <w:sz w:val="24"/>
          <w:lang w:val="en-US" w:eastAsia="zh-CN"/>
        </w:rPr>
        <w:t>高等</w:t>
      </w:r>
      <w:r>
        <w:rPr>
          <w:kern w:val="0"/>
          <w:sz w:val="24"/>
          <w:lang w:val="zh-CN"/>
        </w:rPr>
        <w:t>教育心理学》</w:t>
      </w:r>
      <w:r>
        <w:rPr>
          <w:rFonts w:hint="eastAsia"/>
          <w:kern w:val="0"/>
          <w:sz w:val="24"/>
          <w:lang w:val="en-US" w:eastAsia="zh-CN"/>
        </w:rPr>
        <w:t>高等学校新教师岗前培训</w:t>
      </w:r>
      <w:r>
        <w:rPr>
          <w:kern w:val="0"/>
          <w:sz w:val="24"/>
          <w:lang w:val="zh-CN"/>
        </w:rPr>
        <w:t>的必修课</w:t>
      </w:r>
      <w:r>
        <w:rPr>
          <w:rFonts w:hint="eastAsia"/>
          <w:kern w:val="0"/>
          <w:sz w:val="24"/>
          <w:lang w:val="zh-CN"/>
        </w:rPr>
        <w:t>，</w:t>
      </w:r>
      <w:r>
        <w:rPr>
          <w:rFonts w:hint="eastAsia"/>
          <w:kern w:val="0"/>
          <w:sz w:val="24"/>
          <w:lang w:val="en-US" w:eastAsia="zh-CN"/>
        </w:rPr>
        <w:t>是研究高等教育情境中学生的“学”与教师的“教”的基本心理规律的科学</w:t>
      </w:r>
      <w:r>
        <w:rPr>
          <w:kern w:val="0"/>
          <w:sz w:val="24"/>
          <w:lang w:val="zh-CN"/>
        </w:rPr>
        <w:t>。该课程着眼于提高</w:t>
      </w:r>
      <w:r>
        <w:rPr>
          <w:rFonts w:hint="eastAsia"/>
          <w:kern w:val="0"/>
          <w:sz w:val="24"/>
          <w:lang w:val="en-US" w:eastAsia="zh-CN"/>
        </w:rPr>
        <w:t>高校新入职教师</w:t>
      </w:r>
      <w:r>
        <w:rPr>
          <w:kern w:val="0"/>
          <w:sz w:val="24"/>
          <w:lang w:val="zh-CN"/>
        </w:rPr>
        <w:t>的教育心理学理论水平及实际应用能力，是一门既具有一定的理论性，又具有很强的应用性的课程。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34" w:firstLineChars="181"/>
        <w:textAlignment w:val="auto"/>
        <w:outlineLvl w:val="9"/>
        <w:rPr>
          <w:rFonts w:eastAsia="黑体"/>
          <w:sz w:val="24"/>
        </w:rPr>
      </w:pPr>
      <w:r>
        <w:rPr>
          <w:rFonts w:eastAsia="黑体"/>
          <w:sz w:val="24"/>
        </w:rPr>
        <w:t>2</w:t>
      </w:r>
      <w:r>
        <w:rPr>
          <w:rFonts w:hint="eastAsia" w:eastAsia="黑体"/>
          <w:sz w:val="24"/>
          <w:lang w:eastAsia="zh-CN"/>
        </w:rPr>
        <w:t>.</w:t>
      </w:r>
      <w:r>
        <w:rPr>
          <w:rFonts w:hint="eastAsia" w:eastAsia="黑体"/>
          <w:sz w:val="24"/>
          <w:lang w:val="en-US" w:eastAsia="zh-CN"/>
        </w:rPr>
        <w:t xml:space="preserve"> </w:t>
      </w:r>
      <w:r>
        <w:rPr>
          <w:rFonts w:eastAsia="黑体"/>
          <w:sz w:val="24"/>
        </w:rPr>
        <w:t>课程教学目标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2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通过对学生心理、学习心理、教学心理、教师心理的系统讲授，使</w:t>
      </w:r>
      <w:r>
        <w:rPr>
          <w:rFonts w:hint="eastAsia"/>
          <w:sz w:val="24"/>
          <w:szCs w:val="24"/>
          <w:lang w:val="en-US" w:eastAsia="zh-CN"/>
        </w:rPr>
        <w:t>学员</w:t>
      </w:r>
      <w:r>
        <w:rPr>
          <w:rFonts w:hint="eastAsia"/>
          <w:sz w:val="24"/>
          <w:szCs w:val="24"/>
        </w:rPr>
        <w:t>掌握教育心理学的基本知识、核心观点和基本技能，较好地理解</w:t>
      </w:r>
      <w:r>
        <w:rPr>
          <w:rFonts w:hint="eastAsia"/>
          <w:sz w:val="24"/>
          <w:szCs w:val="24"/>
          <w:lang w:val="en-US" w:eastAsia="zh-CN"/>
        </w:rPr>
        <w:t>高等学校</w:t>
      </w:r>
      <w:r>
        <w:rPr>
          <w:rFonts w:hint="eastAsia"/>
          <w:sz w:val="24"/>
          <w:szCs w:val="24"/>
        </w:rPr>
        <w:t>教育情境中学与教的基本心理规律，为将来从事教育工作做好准备。本门课程力图帮助</w:t>
      </w:r>
      <w:r>
        <w:rPr>
          <w:rFonts w:hint="eastAsia"/>
          <w:sz w:val="24"/>
          <w:szCs w:val="24"/>
          <w:lang w:val="en-US" w:eastAsia="zh-CN"/>
        </w:rPr>
        <w:t>学员</w:t>
      </w:r>
      <w:r>
        <w:rPr>
          <w:rFonts w:hint="eastAsia"/>
          <w:sz w:val="24"/>
          <w:szCs w:val="24"/>
        </w:rPr>
        <w:t>树立起两点意识：其一，成为教育心理学研究成果的明智消费者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积极运用教育心理学的理论和原理改进教学；其二，能够利用教育心理学的研究方法、技术和手段，进行行动研究，解决教育教学实践中遇到的亟待解决的重要问题。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rFonts w:eastAsia="黑体"/>
          <w:sz w:val="24"/>
        </w:rPr>
      </w:pPr>
      <w:r>
        <w:rPr>
          <w:rFonts w:hint="eastAsia" w:eastAsia="黑体"/>
          <w:sz w:val="24"/>
          <w:lang w:val="en-US" w:eastAsia="zh-CN"/>
        </w:rPr>
        <w:t xml:space="preserve">3. </w:t>
      </w:r>
      <w:r>
        <w:rPr>
          <w:rFonts w:eastAsia="黑体"/>
          <w:sz w:val="24"/>
        </w:rPr>
        <w:t>教学手段及教学方法建议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rFonts w:eastAsia="黑体"/>
          <w:sz w:val="24"/>
        </w:rPr>
      </w:pPr>
      <w:r>
        <w:rPr>
          <w:sz w:val="24"/>
          <w:lang w:val="zh-CN"/>
        </w:rPr>
        <w:t>讲授法、讨论法、案例分析、研究性学习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rFonts w:eastAsia="黑体"/>
          <w:sz w:val="24"/>
        </w:rPr>
      </w:pPr>
      <w:r>
        <w:rPr>
          <w:rFonts w:hint="eastAsia" w:eastAsia="黑体"/>
          <w:sz w:val="24"/>
          <w:lang w:val="en-US" w:eastAsia="zh-CN"/>
        </w:rPr>
        <w:t xml:space="preserve">4. </w:t>
      </w:r>
      <w:r>
        <w:rPr>
          <w:rFonts w:eastAsia="黑体"/>
          <w:sz w:val="24"/>
        </w:rPr>
        <w:t>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sz w:val="24"/>
        </w:rPr>
      </w:pPr>
      <w:r>
        <w:rPr>
          <w:sz w:val="24"/>
        </w:rPr>
        <w:t>闭卷考试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rFonts w:eastAsia="黑体"/>
          <w:sz w:val="24"/>
        </w:rPr>
      </w:pPr>
      <w:r>
        <w:rPr>
          <w:rFonts w:hint="eastAsia" w:eastAsia="黑体"/>
          <w:sz w:val="24"/>
          <w:lang w:val="en-US" w:eastAsia="zh-CN"/>
        </w:rPr>
        <w:t xml:space="preserve">5. </w:t>
      </w:r>
      <w:r>
        <w:rPr>
          <w:rFonts w:eastAsia="黑体"/>
          <w:sz w:val="24"/>
        </w:rPr>
        <w:t>指定教材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-181" w:leftChars="-86" w:right="0" w:rightChars="0" w:firstLine="600" w:firstLineChars="250"/>
        <w:textAlignment w:val="auto"/>
        <w:outlineLvl w:val="9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 xml:space="preserve">  </w:t>
      </w:r>
      <w:r>
        <w:rPr>
          <w:rFonts w:hint="eastAsia"/>
          <w:kern w:val="0"/>
          <w:sz w:val="24"/>
          <w:lang w:val="en-US" w:eastAsia="zh-CN"/>
        </w:rPr>
        <w:t>潘晓良、郑莹</w:t>
      </w:r>
      <w:r>
        <w:rPr>
          <w:kern w:val="0"/>
          <w:sz w:val="24"/>
          <w:lang w:val="zh-CN"/>
        </w:rPr>
        <w:t>主编，</w:t>
      </w:r>
      <w:r>
        <w:rPr>
          <w:rFonts w:hint="eastAsia"/>
          <w:kern w:val="0"/>
          <w:sz w:val="24"/>
          <w:lang w:val="en-US" w:eastAsia="zh-CN"/>
        </w:rPr>
        <w:t>高等</w:t>
      </w:r>
      <w:r>
        <w:rPr>
          <w:kern w:val="0"/>
          <w:sz w:val="24"/>
          <w:lang w:val="zh-CN"/>
        </w:rPr>
        <w:t>教育心理学，</w:t>
      </w:r>
      <w:r>
        <w:rPr>
          <w:rFonts w:hint="eastAsia"/>
          <w:kern w:val="0"/>
          <w:sz w:val="24"/>
          <w:lang w:val="en-US" w:eastAsia="zh-CN"/>
        </w:rPr>
        <w:t>长江</w:t>
      </w:r>
      <w:r>
        <w:rPr>
          <w:kern w:val="0"/>
          <w:sz w:val="24"/>
          <w:lang w:val="zh-CN"/>
        </w:rPr>
        <w:t>出版社，20</w:t>
      </w:r>
      <w:r>
        <w:rPr>
          <w:rFonts w:hint="eastAsia"/>
          <w:kern w:val="0"/>
          <w:sz w:val="24"/>
          <w:lang w:val="en-US" w:eastAsia="zh-CN"/>
        </w:rPr>
        <w:t>14</w:t>
      </w:r>
      <w:r>
        <w:rPr>
          <w:kern w:val="0"/>
          <w:sz w:val="24"/>
          <w:lang w:val="zh-CN"/>
        </w:rPr>
        <w:t>年</w:t>
      </w:r>
      <w:r>
        <w:rPr>
          <w:rFonts w:hint="eastAsia"/>
          <w:kern w:val="0"/>
          <w:sz w:val="24"/>
          <w:lang w:val="en-US" w:eastAsia="zh-CN"/>
        </w:rPr>
        <w:t>5</w:t>
      </w:r>
      <w:r>
        <w:rPr>
          <w:kern w:val="0"/>
          <w:sz w:val="24"/>
          <w:lang w:val="zh-CN"/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0" w:rightChars="0" w:firstLine="480" w:firstLineChars="200"/>
        <w:textAlignment w:val="auto"/>
        <w:outlineLvl w:val="9"/>
        <w:rPr>
          <w:rFonts w:eastAsia="黑体"/>
          <w:sz w:val="24"/>
        </w:rPr>
      </w:pPr>
      <w:r>
        <w:rPr>
          <w:rFonts w:hint="eastAsia" w:eastAsia="黑体"/>
          <w:sz w:val="24"/>
          <w:lang w:val="en-US" w:eastAsia="zh-CN"/>
        </w:rPr>
        <w:t xml:space="preserve">6. </w:t>
      </w:r>
      <w:r>
        <w:rPr>
          <w:rFonts w:eastAsia="黑体"/>
          <w:sz w:val="24"/>
        </w:rPr>
        <w:t>教学参考书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4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保罗·埃根，唐·考查克著，郑日昌主译：《教育心理学：课堂之窗》（第6版），北京大学出版社，2009年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12月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托马斯</w:t>
      </w:r>
      <w:bookmarkStart w:id="1" w:name="OLE_LINK1"/>
      <w:r>
        <w:rPr>
          <w:rFonts w:hint="eastAsia" w:ascii="宋体" w:hAnsi="宋体" w:eastAsia="宋体" w:cs="宋体"/>
          <w:sz w:val="24"/>
          <w:szCs w:val="24"/>
        </w:rPr>
        <w:t>·</w:t>
      </w:r>
      <w:bookmarkEnd w:id="1"/>
      <w:r>
        <w:rPr>
          <w:rFonts w:hint="eastAsia" w:ascii="宋体" w:hAnsi="宋体" w:eastAsia="宋体" w:cs="宋体"/>
          <w:sz w:val="24"/>
          <w:szCs w:val="24"/>
        </w:rPr>
        <w:t>费兹科、约翰·麦克卢尔著，吴庆麟等译：《教育心理学——课堂决策的整合之路》，上海人民出版社，2008年11月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4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）罗伯特·斯莱文著，姚梅林等译：《教育心理学：理论与实践》（第7</w:t>
      </w:r>
      <w:r>
        <w:rPr>
          <w:rFonts w:hint="eastAsia" w:ascii="宋体" w:hAnsi="宋体" w:eastAsia="宋体" w:cs="宋体"/>
          <w:sz w:val="24"/>
          <w:szCs w:val="24"/>
        </w:rPr>
        <w:t>版），人民邮电出版社，2004年7月；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吴庆麟：《教育心理学——献给教师的书》，华东师范大学出版社，2003年12月；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4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陈琦、刘儒德主编：《当代教育心理学》（第2版），北京师范大学出版社，2007年；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4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zh-CN"/>
        </w:rPr>
      </w:pPr>
    </w:p>
    <w:p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bCs/>
          <w:kern w:val="0"/>
          <w:sz w:val="28"/>
          <w:szCs w:val="28"/>
        </w:rPr>
        <w:t>二、教学内容</w:t>
      </w:r>
    </w:p>
    <w:p>
      <w:pPr>
        <w:autoSpaceDE w:val="0"/>
        <w:autoSpaceDN w:val="0"/>
        <w:adjustRightInd w:val="0"/>
        <w:spacing w:line="360" w:lineRule="auto"/>
        <w:jc w:val="left"/>
        <w:rPr>
          <w:szCs w:val="21"/>
          <w:lang w:val="zh-CN"/>
        </w:rPr>
      </w:pPr>
      <w:bookmarkStart w:id="2" w:name="_GoBack"/>
      <w:bookmarkEnd w:id="2"/>
    </w:p>
    <w:p>
      <w:pPr>
        <w:autoSpaceDE w:val="0"/>
        <w:autoSpaceDN w:val="0"/>
        <w:adjustRightInd w:val="0"/>
        <w:spacing w:line="360" w:lineRule="auto"/>
        <w:ind w:left="480"/>
        <w:jc w:val="center"/>
        <w:rPr>
          <w:rFonts w:eastAsia="黑体"/>
          <w:kern w:val="0"/>
          <w:sz w:val="28"/>
          <w:szCs w:val="28"/>
          <w:lang w:val="zh-CN"/>
        </w:rPr>
      </w:pPr>
      <w:r>
        <w:rPr>
          <w:rFonts w:eastAsia="黑体"/>
          <w:kern w:val="0"/>
          <w:sz w:val="28"/>
          <w:szCs w:val="28"/>
          <w:lang w:val="zh-CN"/>
        </w:rPr>
        <w:t xml:space="preserve">第一章  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高等教育与高等教育心理学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教学目标</w:t>
      </w:r>
    </w:p>
    <w:p>
      <w:pPr>
        <w:spacing w:line="360" w:lineRule="auto"/>
        <w:ind w:left="59" w:leftChars="28" w:firstLine="480" w:firstLineChars="200"/>
        <w:rPr>
          <w:sz w:val="24"/>
        </w:rPr>
      </w:pPr>
      <w:r>
        <w:rPr>
          <w:sz w:val="24"/>
        </w:rPr>
        <w:t>使</w:t>
      </w:r>
      <w:r>
        <w:rPr>
          <w:rFonts w:hint="eastAsia"/>
          <w:sz w:val="24"/>
          <w:lang w:val="en-US" w:eastAsia="zh-CN"/>
        </w:rPr>
        <w:t>学员</w:t>
      </w:r>
      <w:r>
        <w:rPr>
          <w:sz w:val="24"/>
        </w:rPr>
        <w:t>了解</w:t>
      </w:r>
      <w:r>
        <w:rPr>
          <w:rFonts w:hint="eastAsia"/>
          <w:sz w:val="24"/>
          <w:lang w:val="en-US" w:eastAsia="zh-CN"/>
        </w:rPr>
        <w:t>高等教育的特征和功能；高等教育心理学的对象、任务与意义；掌握高等教育心理学的研究方法。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ind w:left="-181" w:leftChars="-86" w:firstLine="720" w:firstLineChars="300"/>
        <w:rPr>
          <w:sz w:val="24"/>
        </w:rPr>
      </w:pPr>
      <w:r>
        <w:rPr>
          <w:rFonts w:hint="eastAsia"/>
          <w:sz w:val="24"/>
          <w:lang w:val="en-US" w:eastAsia="zh-CN"/>
        </w:rPr>
        <w:t>高等教育心理学的研究对象与任务、研究方法与意义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ind w:firstLine="480" w:firstLineChars="200"/>
        <w:jc w:val="left"/>
        <w:rPr>
          <w:sz w:val="24"/>
          <w:lang w:val="zh-CN"/>
        </w:rPr>
      </w:pPr>
      <w:r>
        <w:rPr>
          <w:rFonts w:hint="eastAsia"/>
          <w:sz w:val="24"/>
          <w:lang w:val="en-US" w:eastAsia="zh-CN"/>
        </w:rPr>
        <w:t>高等</w:t>
      </w:r>
      <w:r>
        <w:rPr>
          <w:sz w:val="24"/>
          <w:lang w:val="zh-CN"/>
        </w:rPr>
        <w:t>教育心理学的研究方法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480"/>
        <w:jc w:val="center"/>
        <w:rPr>
          <w:rFonts w:eastAsia="黑体"/>
          <w:kern w:val="0"/>
          <w:sz w:val="28"/>
          <w:szCs w:val="28"/>
          <w:lang w:val="zh-CN"/>
        </w:rPr>
      </w:pPr>
      <w:r>
        <w:rPr>
          <w:rFonts w:eastAsia="黑体"/>
          <w:kern w:val="0"/>
          <w:sz w:val="28"/>
          <w:szCs w:val="28"/>
          <w:lang w:val="zh-CN"/>
        </w:rPr>
        <w:t xml:space="preserve">第二章  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大学生的心理发展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教学目标</w:t>
      </w:r>
    </w:p>
    <w:p>
      <w:pPr>
        <w:spacing w:line="360" w:lineRule="auto"/>
        <w:ind w:left="59" w:leftChars="28" w:firstLine="360" w:firstLineChars="150"/>
        <w:rPr>
          <w:sz w:val="24"/>
        </w:rPr>
      </w:pPr>
      <w:r>
        <w:rPr>
          <w:rFonts w:hint="eastAsia"/>
          <w:sz w:val="24"/>
          <w:lang w:val="en-US" w:eastAsia="zh-CN"/>
        </w:rPr>
        <w:t>理解个体心理发展的基本规律；掌握大学生认知与社会性发展特点</w:t>
      </w:r>
      <w:r>
        <w:rPr>
          <w:sz w:val="24"/>
        </w:rPr>
        <w:t>。</w:t>
      </w:r>
    </w:p>
    <w:p>
      <w:pPr>
        <w:tabs>
          <w:tab w:val="left" w:pos="540"/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ind w:left="59" w:leftChars="28" w:firstLine="360" w:firstLineChars="15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个体心理发展的基本规律、大学生认知与社会性发展特点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spacing w:line="360" w:lineRule="auto"/>
        <w:ind w:left="59" w:leftChars="28" w:firstLine="360" w:firstLineChars="150"/>
        <w:rPr>
          <w:sz w:val="24"/>
        </w:rPr>
      </w:pPr>
      <w:r>
        <w:rPr>
          <w:rFonts w:hint="eastAsia"/>
          <w:sz w:val="24"/>
          <w:lang w:val="en-US" w:eastAsia="zh-CN"/>
        </w:rPr>
        <w:t>个体心理发展的基本规律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spacing w:line="360" w:lineRule="auto"/>
        <w:ind w:left="59" w:leftChars="28" w:firstLine="360" w:firstLineChars="150"/>
        <w:rPr>
          <w:rFonts w:hint="eastAsia" w:ascii="宋体" w:hAnsi="宋体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left="480"/>
        <w:jc w:val="center"/>
        <w:rPr>
          <w:rFonts w:eastAsia="黑体"/>
          <w:kern w:val="0"/>
          <w:sz w:val="28"/>
          <w:szCs w:val="28"/>
          <w:lang w:val="zh-CN"/>
        </w:rPr>
      </w:pPr>
      <w:r>
        <w:rPr>
          <w:rFonts w:eastAsia="黑体"/>
          <w:kern w:val="0"/>
          <w:sz w:val="28"/>
          <w:szCs w:val="28"/>
          <w:lang w:val="zh-CN"/>
        </w:rPr>
        <w:t>第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三</w:t>
      </w:r>
      <w:r>
        <w:rPr>
          <w:rFonts w:eastAsia="黑体"/>
          <w:kern w:val="0"/>
          <w:sz w:val="28"/>
          <w:szCs w:val="28"/>
          <w:lang w:val="zh-CN"/>
        </w:rPr>
        <w:t xml:space="preserve">章  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大学生学习心理概述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教学目标</w:t>
      </w:r>
    </w:p>
    <w:p>
      <w:pPr>
        <w:spacing w:line="360" w:lineRule="auto"/>
        <w:ind w:left="59" w:leftChars="28" w:firstLine="360" w:firstLineChars="150"/>
        <w:rPr>
          <w:sz w:val="24"/>
        </w:rPr>
      </w:pPr>
      <w:r>
        <w:rPr>
          <w:rFonts w:hint="eastAsia"/>
          <w:sz w:val="24"/>
          <w:lang w:val="en-US" w:eastAsia="zh-CN"/>
        </w:rPr>
        <w:t>理解学习的概念；掌握学习的分类；</w:t>
      </w:r>
      <w:r>
        <w:rPr>
          <w:sz w:val="24"/>
        </w:rPr>
        <w:t>把握学习理论的发展脉络，并能运用有关学习理论分析和解释现实的教育教学问题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了解大学生学习特点</w:t>
      </w:r>
      <w:r>
        <w:rPr>
          <w:sz w:val="24"/>
        </w:rPr>
        <w:t>。</w:t>
      </w:r>
    </w:p>
    <w:p>
      <w:pPr>
        <w:tabs>
          <w:tab w:val="left" w:pos="540"/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ind w:left="59" w:leftChars="28" w:firstLine="360" w:firstLineChars="15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学习的概念、加涅、奥苏泊尔和布鲁姆的学习分类、学习理论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spacing w:line="360" w:lineRule="auto"/>
        <w:ind w:left="59" w:leftChars="28" w:firstLine="360" w:firstLineChars="150"/>
        <w:rPr>
          <w:sz w:val="24"/>
        </w:rPr>
      </w:pPr>
      <w:r>
        <w:rPr>
          <w:rFonts w:hint="eastAsia"/>
          <w:sz w:val="24"/>
          <w:lang w:val="en-US" w:eastAsia="zh-CN"/>
        </w:rPr>
        <w:t>学习的概念、学习理论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spacing w:line="360" w:lineRule="auto"/>
        <w:ind w:left="59" w:leftChars="28" w:firstLine="360" w:firstLineChars="150"/>
        <w:jc w:val="center"/>
        <w:rPr>
          <w:rFonts w:hint="eastAsia" w:eastAsia="黑体"/>
          <w:sz w:val="24"/>
        </w:rPr>
      </w:pPr>
    </w:p>
    <w:p>
      <w:pPr>
        <w:autoSpaceDE w:val="0"/>
        <w:autoSpaceDN w:val="0"/>
        <w:adjustRightInd w:val="0"/>
        <w:spacing w:line="360" w:lineRule="auto"/>
        <w:ind w:left="480"/>
        <w:jc w:val="center"/>
        <w:rPr>
          <w:rFonts w:eastAsia="黑体"/>
          <w:kern w:val="0"/>
          <w:sz w:val="28"/>
          <w:szCs w:val="28"/>
          <w:lang w:val="en-US"/>
        </w:rPr>
      </w:pPr>
      <w:r>
        <w:rPr>
          <w:rFonts w:eastAsia="黑体"/>
          <w:kern w:val="0"/>
          <w:sz w:val="28"/>
          <w:szCs w:val="28"/>
          <w:lang w:val="zh-CN"/>
        </w:rPr>
        <w:t>第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四</w:t>
      </w:r>
      <w:r>
        <w:rPr>
          <w:rFonts w:eastAsia="黑体"/>
          <w:kern w:val="0"/>
          <w:sz w:val="28"/>
          <w:szCs w:val="28"/>
          <w:lang w:val="zh-CN"/>
        </w:rPr>
        <w:t xml:space="preserve">章  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大学生的学习动机及其激发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教学目标</w:t>
      </w:r>
    </w:p>
    <w:p>
      <w:pPr>
        <w:spacing w:line="360" w:lineRule="auto"/>
        <w:ind w:left="59" w:leftChars="28" w:firstLine="360" w:firstLineChars="150"/>
        <w:rPr>
          <w:sz w:val="24"/>
        </w:rPr>
      </w:pPr>
      <w:r>
        <w:rPr>
          <w:sz w:val="24"/>
        </w:rPr>
        <w:t>理解学习动机及其与学习效果、学习效率关系</w:t>
      </w:r>
      <w:r>
        <w:rPr>
          <w:rFonts w:hint="eastAsia"/>
          <w:sz w:val="24"/>
          <w:lang w:eastAsia="zh-CN"/>
        </w:rPr>
        <w:t>；</w:t>
      </w:r>
      <w:r>
        <w:rPr>
          <w:sz w:val="24"/>
        </w:rPr>
        <w:t>掌握主要学习动机理论及其观点</w:t>
      </w:r>
      <w:r>
        <w:rPr>
          <w:rFonts w:hint="eastAsia"/>
          <w:sz w:val="24"/>
          <w:lang w:eastAsia="zh-CN"/>
        </w:rPr>
        <w:t>；</w:t>
      </w:r>
      <w:r>
        <w:rPr>
          <w:sz w:val="24"/>
        </w:rPr>
        <w:t>能运用学习动机理论培养和激发学</w:t>
      </w:r>
      <w:r>
        <w:rPr>
          <w:rFonts w:hint="eastAsia"/>
          <w:sz w:val="24"/>
          <w:lang w:val="en-US" w:eastAsia="zh-CN"/>
        </w:rPr>
        <w:t>生</w:t>
      </w:r>
      <w:r>
        <w:rPr>
          <w:sz w:val="24"/>
        </w:rPr>
        <w:t>的学习动机。</w:t>
      </w:r>
    </w:p>
    <w:p>
      <w:pPr>
        <w:tabs>
          <w:tab w:val="left" w:pos="540"/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ind w:left="-181" w:leftChars="-86" w:firstLine="600" w:firstLineChars="250"/>
        <w:rPr>
          <w:sz w:val="24"/>
        </w:rPr>
      </w:pPr>
      <w:r>
        <w:rPr>
          <w:sz w:val="24"/>
        </w:rPr>
        <w:t>学习动机的理论及学习动机的培养与激发的途径与方法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spacing w:line="360" w:lineRule="auto"/>
        <w:ind w:left="59" w:leftChars="28" w:firstLine="360" w:firstLineChars="15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学习动机的理论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eastAsia="黑体"/>
          <w:kern w:val="0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第五章</w:t>
      </w:r>
      <w:r>
        <w:rPr>
          <w:rFonts w:hint="eastAsia" w:ascii="黑体" w:eastAsia="黑体"/>
          <w:kern w:val="0"/>
          <w:sz w:val="28"/>
          <w:szCs w:val="28"/>
          <w:lang w:val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大学生的</w:t>
      </w:r>
      <w:r>
        <w:rPr>
          <w:rFonts w:hint="eastAsia" w:ascii="黑体" w:eastAsia="黑体"/>
          <w:kern w:val="0"/>
          <w:sz w:val="28"/>
          <w:szCs w:val="28"/>
          <w:lang w:val="zh-CN"/>
        </w:rPr>
        <w:t>学习迁移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及其促进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left="59" w:leftChars="28" w:firstLine="480" w:firstLineChars="200"/>
        <w:rPr>
          <w:sz w:val="24"/>
        </w:rPr>
      </w:pPr>
      <w:r>
        <w:rPr>
          <w:sz w:val="24"/>
        </w:rPr>
        <w:t>了解迁移的含义、类型</w:t>
      </w:r>
      <w:r>
        <w:rPr>
          <w:rFonts w:hint="eastAsia"/>
          <w:sz w:val="24"/>
          <w:lang w:val="en-US" w:eastAsia="zh-CN"/>
        </w:rPr>
        <w:t>以及影响因素；</w:t>
      </w:r>
      <w:r>
        <w:rPr>
          <w:sz w:val="24"/>
        </w:rPr>
        <w:t>理解迁移的基本理论，并能运用</w:t>
      </w:r>
      <w:r>
        <w:rPr>
          <w:rFonts w:hint="eastAsia"/>
          <w:sz w:val="24"/>
          <w:lang w:val="en-US" w:eastAsia="zh-CN"/>
        </w:rPr>
        <w:t>一些教学策略促进大学生的学习迁移</w:t>
      </w:r>
      <w:r>
        <w:rPr>
          <w:sz w:val="24"/>
        </w:rPr>
        <w:t>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本章重点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学习迁移的理论；促进学习迁移的教学</w:t>
      </w:r>
      <w:r>
        <w:rPr>
          <w:rFonts w:hint="eastAsia"/>
          <w:sz w:val="24"/>
          <w:lang w:val="en-US" w:eastAsia="zh-CN"/>
        </w:rPr>
        <w:t>策略</w:t>
      </w:r>
      <w:r>
        <w:rPr>
          <w:sz w:val="24"/>
        </w:rPr>
        <w:t>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本章难点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学习迁移的理论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spacing w:line="360" w:lineRule="auto"/>
        <w:ind w:firstLine="360" w:firstLineChars="150"/>
        <w:jc w:val="center"/>
        <w:rPr>
          <w:rFonts w:hint="eastAsia" w:eastAsia="黑体"/>
          <w:sz w:val="24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第六章</w:t>
      </w:r>
      <w:r>
        <w:rPr>
          <w:rFonts w:hint="eastAsia" w:ascii="黑体" w:eastAsia="黑体"/>
          <w:kern w:val="0"/>
          <w:sz w:val="28"/>
          <w:szCs w:val="28"/>
          <w:lang w:val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大学生的知识学习与技能学习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了解并掌握知识</w:t>
      </w:r>
      <w:r>
        <w:rPr>
          <w:rFonts w:hint="eastAsia"/>
          <w:sz w:val="24"/>
          <w:lang w:val="en-US" w:eastAsia="zh-CN"/>
        </w:rPr>
        <w:t>和技能的表征</w:t>
      </w:r>
      <w:r>
        <w:rPr>
          <w:sz w:val="24"/>
        </w:rPr>
        <w:t>；理解</w:t>
      </w:r>
      <w:r>
        <w:rPr>
          <w:rFonts w:hint="eastAsia"/>
          <w:sz w:val="24"/>
          <w:lang w:val="en-US" w:eastAsia="zh-CN"/>
        </w:rPr>
        <w:t>知识与技能学习的过程与条件；掌握大学生知识学习与技能学习的指导策略。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本章重点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知识与技能的表征、知识与技能学习的过程与条件</w:t>
      </w:r>
      <w:r>
        <w:rPr>
          <w:sz w:val="24"/>
        </w:rPr>
        <w:t>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本章难点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知识与技能的表征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七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章</w:t>
      </w:r>
      <w:r>
        <w:rPr>
          <w:rFonts w:hint="eastAsia" w:ascii="黑体" w:eastAsia="黑体"/>
          <w:kern w:val="0"/>
          <w:sz w:val="28"/>
          <w:szCs w:val="28"/>
          <w:lang w:val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大学生的学习风格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了解并掌握</w:t>
      </w:r>
      <w:r>
        <w:rPr>
          <w:rFonts w:hint="eastAsia"/>
          <w:sz w:val="24"/>
          <w:lang w:val="en-US" w:eastAsia="zh-CN"/>
        </w:rPr>
        <w:t>学习风格的概念，学习风格与认知风格的关系</w:t>
      </w:r>
      <w:r>
        <w:rPr>
          <w:sz w:val="24"/>
        </w:rPr>
        <w:t>；</w:t>
      </w:r>
      <w:r>
        <w:rPr>
          <w:rFonts w:hint="eastAsia"/>
          <w:sz w:val="24"/>
          <w:lang w:val="en-US" w:eastAsia="zh-CN"/>
        </w:rPr>
        <w:t>把握学习风格的构成要素；理解学习风格差异与教学的关系并加以应用。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本章重点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学习风格的构成要素、学习风格差异与教学的关系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本章难点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学习风格的构成要素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spacing w:line="360" w:lineRule="auto"/>
        <w:ind w:left="-181" w:leftChars="-86" w:firstLine="2"/>
        <w:jc w:val="center"/>
        <w:rPr>
          <w:rFonts w:hint="eastAsia" w:eastAsia="黑体"/>
          <w:b/>
          <w:bCs/>
          <w:kern w:val="0"/>
          <w:sz w:val="28"/>
          <w:szCs w:val="28"/>
          <w:lang w:val="zh-CN"/>
        </w:rPr>
      </w:pPr>
    </w:p>
    <w:p>
      <w:pPr>
        <w:spacing w:line="360" w:lineRule="auto"/>
        <w:ind w:left="-181" w:leftChars="-86" w:firstLine="2"/>
        <w:jc w:val="center"/>
        <w:rPr>
          <w:rFonts w:eastAsia="黑体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eastAsia="黑体"/>
          <w:bCs/>
          <w:kern w:val="0"/>
          <w:sz w:val="28"/>
          <w:szCs w:val="28"/>
          <w:lang w:val="en-US" w:eastAsia="zh-CN"/>
        </w:rPr>
        <w:t>八</w:t>
      </w:r>
      <w:r>
        <w:rPr>
          <w:rFonts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eastAsia="黑体"/>
          <w:bCs/>
          <w:kern w:val="0"/>
          <w:sz w:val="28"/>
          <w:szCs w:val="28"/>
          <w:lang w:val="en-US" w:eastAsia="zh-CN"/>
        </w:rPr>
        <w:t>大学生的</w:t>
      </w:r>
      <w:r>
        <w:rPr>
          <w:rFonts w:eastAsia="黑体"/>
          <w:sz w:val="28"/>
          <w:szCs w:val="28"/>
        </w:rPr>
        <w:t>问题解决与创造</w:t>
      </w:r>
      <w:r>
        <w:rPr>
          <w:rFonts w:hint="eastAsia" w:eastAsia="黑体"/>
          <w:sz w:val="28"/>
          <w:szCs w:val="28"/>
          <w:lang w:val="en-US" w:eastAsia="zh-CN"/>
        </w:rPr>
        <w:t>力</w:t>
      </w:r>
      <w:r>
        <w:rPr>
          <w:rFonts w:eastAsia="黑体"/>
          <w:sz w:val="28"/>
          <w:szCs w:val="28"/>
        </w:rPr>
        <w:t>培养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了解问题及其类型，</w:t>
      </w:r>
      <w:r>
        <w:rPr>
          <w:rFonts w:hint="eastAsia"/>
          <w:sz w:val="24"/>
          <w:lang w:val="en-US" w:eastAsia="zh-CN"/>
        </w:rPr>
        <w:t>了解问题解决的思维过程；理解问题解决和创造力的影响因素；</w:t>
      </w:r>
      <w:r>
        <w:rPr>
          <w:sz w:val="24"/>
        </w:rPr>
        <w:t>了解创造</w:t>
      </w:r>
      <w:r>
        <w:rPr>
          <w:rFonts w:hint="eastAsia"/>
          <w:sz w:val="24"/>
          <w:lang w:val="en-US" w:eastAsia="zh-CN"/>
        </w:rPr>
        <w:t>力</w:t>
      </w:r>
      <w:r>
        <w:rPr>
          <w:sz w:val="24"/>
        </w:rPr>
        <w:t>的内涵及</w:t>
      </w:r>
      <w:r>
        <w:rPr>
          <w:rFonts w:hint="eastAsia"/>
          <w:sz w:val="24"/>
          <w:lang w:val="en-US" w:eastAsia="zh-CN"/>
        </w:rPr>
        <w:t>构成；</w:t>
      </w:r>
      <w:r>
        <w:rPr>
          <w:sz w:val="24"/>
        </w:rPr>
        <w:t>掌握问题解决</w:t>
      </w:r>
      <w:r>
        <w:rPr>
          <w:rFonts w:hint="eastAsia"/>
          <w:sz w:val="24"/>
          <w:lang w:val="en-US" w:eastAsia="zh-CN"/>
        </w:rPr>
        <w:t>能力和创造力培养的措施</w:t>
      </w:r>
      <w:r>
        <w:rPr>
          <w:sz w:val="24"/>
        </w:rPr>
        <w:t>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  <w:lang w:val="en-US" w:eastAsia="zh-CN"/>
        </w:rPr>
        <w:t>问题解决和创造力的影响因素、问题解决能力及创造力培养措施</w:t>
      </w:r>
    </w:p>
    <w:p>
      <w:pPr>
        <w:spacing w:line="360" w:lineRule="auto"/>
        <w:rPr>
          <w:b/>
          <w:sz w:val="24"/>
        </w:rPr>
      </w:pPr>
      <w:r>
        <w:rPr>
          <w:b/>
          <w:sz w:val="24"/>
        </w:rPr>
        <w:t>本章难点</w:t>
      </w:r>
    </w:p>
    <w:p>
      <w:pPr>
        <w:spacing w:line="360" w:lineRule="auto"/>
        <w:ind w:firstLine="360" w:firstLineChars="15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问题解决和创造力的影响因素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eastAsia="黑体"/>
          <w:kern w:val="0"/>
          <w:sz w:val="28"/>
          <w:szCs w:val="28"/>
          <w:lang w:val="zh-CN"/>
        </w:rPr>
      </w:pPr>
      <w:r>
        <w:rPr>
          <w:rFonts w:eastAsia="黑体"/>
          <w:bCs/>
          <w:kern w:val="0"/>
          <w:sz w:val="28"/>
          <w:szCs w:val="28"/>
          <w:lang w:val="zh-CN"/>
        </w:rPr>
        <w:t xml:space="preserve">第九章 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大学生的品德及其培养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教学目标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hint="eastAsia"/>
          <w:sz w:val="24"/>
          <w:lang w:val="en-US" w:eastAsia="zh-CN"/>
        </w:rPr>
        <w:t xml:space="preserve">    理解品德的含义及其与道德的关系；掌握品德的心理结构；掌握皮亚杰、科尔伯格的道德发展阶段论以及班杜拉的社会学习理论；了解大学生品德形成的阶段；</w:t>
      </w:r>
      <w:r>
        <w:rPr>
          <w:sz w:val="24"/>
        </w:rPr>
        <w:t>并能运用</w:t>
      </w:r>
      <w:r>
        <w:rPr>
          <w:rFonts w:hint="eastAsia"/>
          <w:sz w:val="24"/>
          <w:lang w:val="en-US" w:eastAsia="zh-CN"/>
        </w:rPr>
        <w:t>品德心理的相关研究，提出大学生品德培养的对策</w:t>
      </w:r>
      <w:r>
        <w:t>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品德的</w:t>
      </w:r>
      <w:r>
        <w:rPr>
          <w:rFonts w:hint="eastAsia"/>
          <w:sz w:val="24"/>
          <w:lang w:val="en-US" w:eastAsia="zh-CN"/>
        </w:rPr>
        <w:t>心理结构、品德发展理论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本章难点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品德发展理论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十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大学生的自我意识与自我教育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left="59" w:leftChars="28"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理解自我意识的</w:t>
      </w:r>
      <w:r>
        <w:rPr>
          <w:sz w:val="24"/>
        </w:rPr>
        <w:t>含义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了解大学生自我意识的发展过程及特点；理解大学生自我教育的价值；把握大学生自我教育的要求；掌握培养大学生自我教育能力的途径和方法</w:t>
      </w:r>
      <w:r>
        <w:rPr>
          <w:sz w:val="24"/>
        </w:rPr>
        <w:t>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自我意识的含义、大学生自我意识的发展过程及特点、培养大学生自我教育能力的途径和方法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spacing w:line="360" w:lineRule="auto"/>
        <w:ind w:left="-181" w:leftChars="-86" w:firstLine="720" w:firstLineChars="3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大学生自我意识的发展过程及特点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十一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大学生的群体心理与人际交往的调适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left="59" w:leftChars="28"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了解人际关系形成的条件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理解群体的概念及其分类；理解并掌握社会助长与社会惰化、群体极化与群体思维、从众与服从等群体心理现象；了解大学生班集体的社会心理（如班级凝聚力等）；了解大学生人际交往的特点；了解大学生人际交往常见的心理障碍及其调适策略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群体心理现象、大学生人际交往特点、大学生人际交往常见的心理障碍及其调适策略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spacing w:line="360" w:lineRule="auto"/>
        <w:ind w:left="-181" w:leftChars="-86" w:firstLine="720" w:firstLineChars="3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群体心理现象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十二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大学生的心理健康及健全人格的培养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left="59" w:leftChars="28"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理解健康和心理健康的含义；理解心理健康的特点；掌握大学生心理健康的标准；了解大学生存在的心理健康问题及影响因素，能够从大学生的行为表现大致判断其心理健康状况；把握大学生心理健康教育的原则和内容；了解大学生健全人格的特征；了解并掌握培养大学生健全人格的途径与措施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大学生心理健康的标准、大学生存在的心理健康问题及影响因素、大学生心理健康教育的原则和内容、培养大学生健全人格的途径与措施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大学生存在的心理健康问题及影响因素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十三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大学生就业心理及其指导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ind w:left="59" w:leftChars="28"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明确大学生就业指导的意义；理解大学生就业指导的目标；了解大学生常见的就业心理偏差；掌握大学生就业指导的方法与策略。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ind w:left="-181" w:leftChars="-86" w:firstLine="720" w:firstLineChars="3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大学生常见的就业心理偏差、大学生就业指导的方法与策略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spacing w:line="360" w:lineRule="auto"/>
        <w:ind w:left="-181" w:leftChars="-86" w:firstLine="720" w:firstLineChars="300"/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大学生就业指导的方法与策略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十四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高等学校教师心理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 理解教师角色的含义；理解教师角色对学生的影响和作用；理解并掌握高校教师的能力结构（一般教学能力、教育机智、教学效能感等）；理解教师威信及其对学生和教育效果的影响；理解教师专业发展阶段及专家型教师的基本特征；了解高校教师成长和培养的途径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教师角色对学生的影响、高校教师的能力结构、教师威信对学生和教育效果的影响、专家型教师的基本特征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 xml:space="preserve">    高校教师的能力结构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eastAsia" w:ascii="黑体" w:eastAsia="黑体"/>
          <w:kern w:val="0"/>
          <w:sz w:val="28"/>
          <w:szCs w:val="28"/>
          <w:lang w:val="zh-CN"/>
        </w:rPr>
      </w:pP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>第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十五</w:t>
      </w:r>
      <w:r>
        <w:rPr>
          <w:rFonts w:hint="eastAsia" w:ascii="黑体" w:eastAsia="黑体"/>
          <w:bCs/>
          <w:kern w:val="0"/>
          <w:sz w:val="28"/>
          <w:szCs w:val="28"/>
          <w:lang w:val="zh-CN"/>
        </w:rPr>
        <w:t xml:space="preserve">章 </w:t>
      </w:r>
      <w:r>
        <w:rPr>
          <w:rFonts w:hint="eastAsia" w:ascii="黑体" w:eastAsia="黑体"/>
          <w:bCs/>
          <w:kern w:val="0"/>
          <w:sz w:val="28"/>
          <w:szCs w:val="28"/>
          <w:lang w:val="en-US" w:eastAsia="zh-CN"/>
        </w:rPr>
        <w:t>高等学校教师的教学心理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 w:val="24"/>
          <w:lang w:val="zh-CN"/>
        </w:rPr>
      </w:pPr>
      <w:r>
        <w:rPr>
          <w:rFonts w:eastAsia="黑体"/>
          <w:kern w:val="0"/>
          <w:sz w:val="24"/>
          <w:lang w:val="zh-CN"/>
        </w:rPr>
        <w:t>教学目标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 理解教学过程的基本环节；理解有效教学的含义、理念及特征；掌握有效的高校教学模式（直接教学、建构主义教学等）；理解并应用促进高校教师有效教学的途径（教学监控、教学反思、教学评价）。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本章重点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有效教学的理念、有效的高校教学模式、促进高校教师有效教学的途径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lang w:val="zh-CN"/>
        </w:rPr>
      </w:pPr>
      <w:r>
        <w:rPr>
          <w:rFonts w:eastAsia="黑体"/>
          <w:sz w:val="24"/>
          <w:lang w:val="zh-CN"/>
        </w:rPr>
        <w:t>本章难点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 xml:space="preserve">    有效的高校教学模式、促进高校教师有效教学的途径</w:t>
      </w:r>
    </w:p>
    <w:p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360" w:lineRule="auto"/>
        <w:jc w:val="left"/>
        <w:rPr>
          <w:rFonts w:hint="eastAsia" w:eastAsia="黑体"/>
          <w:kern w:val="0"/>
          <w:sz w:val="24"/>
          <w:lang w:val="zh-CN"/>
        </w:rPr>
      </w:pPr>
      <w:r>
        <w:rPr>
          <w:rFonts w:eastAsia="黑体"/>
          <w:sz w:val="24"/>
          <w:lang w:val="zh-CN"/>
        </w:rPr>
        <w:t>讲授内容</w:t>
      </w:r>
      <w:r>
        <w:rPr>
          <w:rFonts w:hint="eastAsia" w:eastAsia="黑体"/>
          <w:sz w:val="24"/>
          <w:lang w:val="zh-CN"/>
        </w:rPr>
        <w:t>（</w:t>
      </w:r>
      <w:r>
        <w:rPr>
          <w:rFonts w:hint="eastAsia" w:eastAsia="黑体"/>
          <w:sz w:val="24"/>
          <w:lang w:val="en-US" w:eastAsia="zh-CN"/>
        </w:rPr>
        <w:t>详见教材章节目录</w:t>
      </w:r>
      <w:r>
        <w:rPr>
          <w:rFonts w:hint="eastAsia" w:eastAsia="黑体"/>
          <w:sz w:val="24"/>
          <w:lang w:val="zh-CN"/>
        </w:rPr>
        <w:t>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Sylfaen">
    <w:panose1 w:val="010A0502050306030303"/>
    <w:charset w:val="00"/>
    <w:family w:val="decorative"/>
    <w:pitch w:val="default"/>
    <w:sig w:usb0="04000687" w:usb1="00000000" w:usb2="00000000" w:usb3="00000000" w:csb0="2000009F" w:csb1="00000000"/>
  </w:font>
  <w:font w:name="??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Sylfaen">
    <w:panose1 w:val="010A0502050306030303"/>
    <w:charset w:val="00"/>
    <w:family w:val="modern"/>
    <w:pitch w:val="default"/>
    <w:sig w:usb0="04000687" w:usb1="00000000" w:usb2="00000000" w:usb3="00000000" w:csb0="2000009F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Sylfaen">
    <w:panose1 w:val="010A0502050306030303"/>
    <w:charset w:val="00"/>
    <w:family w:val="swiss"/>
    <w:pitch w:val="default"/>
    <w:sig w:usb0="04000687" w:usb1="00000000" w:usb2="00000000" w:usb3="00000000" w:csb0="2000009F" w:csb1="00000000"/>
  </w:font>
  <w:font w:name="??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B3D16"/>
    <w:rsid w:val="0018607E"/>
    <w:rsid w:val="015F3DBA"/>
    <w:rsid w:val="01FA2FB5"/>
    <w:rsid w:val="028662B5"/>
    <w:rsid w:val="036776EB"/>
    <w:rsid w:val="03825C4B"/>
    <w:rsid w:val="03BC4F2A"/>
    <w:rsid w:val="04093BA8"/>
    <w:rsid w:val="053111AE"/>
    <w:rsid w:val="05407216"/>
    <w:rsid w:val="07A6696A"/>
    <w:rsid w:val="07D76927"/>
    <w:rsid w:val="0A181CB8"/>
    <w:rsid w:val="0AD5632C"/>
    <w:rsid w:val="0B415FBA"/>
    <w:rsid w:val="0B5917FA"/>
    <w:rsid w:val="0D937F67"/>
    <w:rsid w:val="0E0B52B6"/>
    <w:rsid w:val="0E45387F"/>
    <w:rsid w:val="0E810C3B"/>
    <w:rsid w:val="0F007741"/>
    <w:rsid w:val="0F290C70"/>
    <w:rsid w:val="0FB86613"/>
    <w:rsid w:val="103725FF"/>
    <w:rsid w:val="128C3308"/>
    <w:rsid w:val="141C12C4"/>
    <w:rsid w:val="14D86843"/>
    <w:rsid w:val="154D5227"/>
    <w:rsid w:val="160D65F8"/>
    <w:rsid w:val="162263AD"/>
    <w:rsid w:val="162708EC"/>
    <w:rsid w:val="164A0A85"/>
    <w:rsid w:val="165825DF"/>
    <w:rsid w:val="19035AF6"/>
    <w:rsid w:val="19CF3082"/>
    <w:rsid w:val="1BBA264F"/>
    <w:rsid w:val="1D8343D8"/>
    <w:rsid w:val="1D9B4382"/>
    <w:rsid w:val="20EB685D"/>
    <w:rsid w:val="2187175C"/>
    <w:rsid w:val="219D66E8"/>
    <w:rsid w:val="22173454"/>
    <w:rsid w:val="22892252"/>
    <w:rsid w:val="230B634E"/>
    <w:rsid w:val="245A266D"/>
    <w:rsid w:val="24C562FE"/>
    <w:rsid w:val="24FE7CA0"/>
    <w:rsid w:val="25C32BCC"/>
    <w:rsid w:val="2620672D"/>
    <w:rsid w:val="265B247A"/>
    <w:rsid w:val="268648E1"/>
    <w:rsid w:val="26F51B37"/>
    <w:rsid w:val="293B2285"/>
    <w:rsid w:val="29646856"/>
    <w:rsid w:val="29B504C2"/>
    <w:rsid w:val="2A47043B"/>
    <w:rsid w:val="2A5B4A09"/>
    <w:rsid w:val="2A837CC5"/>
    <w:rsid w:val="2D4C4BF1"/>
    <w:rsid w:val="2D963D7A"/>
    <w:rsid w:val="2E0E34A7"/>
    <w:rsid w:val="2E521204"/>
    <w:rsid w:val="2EB934D2"/>
    <w:rsid w:val="2F27285A"/>
    <w:rsid w:val="2F5C3190"/>
    <w:rsid w:val="30223B7D"/>
    <w:rsid w:val="3127489A"/>
    <w:rsid w:val="31336233"/>
    <w:rsid w:val="32540E2C"/>
    <w:rsid w:val="338A4E04"/>
    <w:rsid w:val="34E32DA4"/>
    <w:rsid w:val="35D16BC9"/>
    <w:rsid w:val="369669C8"/>
    <w:rsid w:val="36D9064D"/>
    <w:rsid w:val="38223B56"/>
    <w:rsid w:val="3AB57D7C"/>
    <w:rsid w:val="3B196195"/>
    <w:rsid w:val="3C1854F2"/>
    <w:rsid w:val="3CEB75A7"/>
    <w:rsid w:val="3D967071"/>
    <w:rsid w:val="3E003FF1"/>
    <w:rsid w:val="40315192"/>
    <w:rsid w:val="404E4746"/>
    <w:rsid w:val="40CB3D16"/>
    <w:rsid w:val="412344A5"/>
    <w:rsid w:val="41491434"/>
    <w:rsid w:val="41555E99"/>
    <w:rsid w:val="421B0CAB"/>
    <w:rsid w:val="427A55DA"/>
    <w:rsid w:val="43543A36"/>
    <w:rsid w:val="44B52B82"/>
    <w:rsid w:val="44E72D4F"/>
    <w:rsid w:val="46EC762A"/>
    <w:rsid w:val="47855CFF"/>
    <w:rsid w:val="478E06EA"/>
    <w:rsid w:val="47F52FB7"/>
    <w:rsid w:val="4ACE6A76"/>
    <w:rsid w:val="4BCF65C0"/>
    <w:rsid w:val="4BF875A1"/>
    <w:rsid w:val="4E86093E"/>
    <w:rsid w:val="4EEF50D9"/>
    <w:rsid w:val="4F4A6C85"/>
    <w:rsid w:val="4F547E28"/>
    <w:rsid w:val="50577873"/>
    <w:rsid w:val="50A8680E"/>
    <w:rsid w:val="51173BA2"/>
    <w:rsid w:val="51442B22"/>
    <w:rsid w:val="51692143"/>
    <w:rsid w:val="517304D8"/>
    <w:rsid w:val="51873099"/>
    <w:rsid w:val="520F64DE"/>
    <w:rsid w:val="52551DE3"/>
    <w:rsid w:val="5291564D"/>
    <w:rsid w:val="52A7445F"/>
    <w:rsid w:val="52DA453D"/>
    <w:rsid w:val="54806673"/>
    <w:rsid w:val="5579730D"/>
    <w:rsid w:val="55E457C2"/>
    <w:rsid w:val="563F27CB"/>
    <w:rsid w:val="58BC4F11"/>
    <w:rsid w:val="5A0E4E4A"/>
    <w:rsid w:val="5E4A1133"/>
    <w:rsid w:val="5EFE3F84"/>
    <w:rsid w:val="5F354C28"/>
    <w:rsid w:val="605D61D6"/>
    <w:rsid w:val="606E6BEB"/>
    <w:rsid w:val="62563D09"/>
    <w:rsid w:val="63AB5D75"/>
    <w:rsid w:val="63D870CB"/>
    <w:rsid w:val="64482C2F"/>
    <w:rsid w:val="658516EA"/>
    <w:rsid w:val="67886154"/>
    <w:rsid w:val="68094E8E"/>
    <w:rsid w:val="694C1AEF"/>
    <w:rsid w:val="6ABF4028"/>
    <w:rsid w:val="6BBE1547"/>
    <w:rsid w:val="6C0D4A88"/>
    <w:rsid w:val="6C3D417F"/>
    <w:rsid w:val="6CC878C6"/>
    <w:rsid w:val="6CC9585C"/>
    <w:rsid w:val="6CEF04E5"/>
    <w:rsid w:val="6DC44AF1"/>
    <w:rsid w:val="6DD34D32"/>
    <w:rsid w:val="6F8F1319"/>
    <w:rsid w:val="6FF66F0F"/>
    <w:rsid w:val="71164C0C"/>
    <w:rsid w:val="72C95437"/>
    <w:rsid w:val="73CA46BE"/>
    <w:rsid w:val="74C17D59"/>
    <w:rsid w:val="74FE5FEA"/>
    <w:rsid w:val="75815456"/>
    <w:rsid w:val="75C43D6D"/>
    <w:rsid w:val="76E966FD"/>
    <w:rsid w:val="774B16D9"/>
    <w:rsid w:val="79D60B20"/>
    <w:rsid w:val="7A9E1A4C"/>
    <w:rsid w:val="7B482FA3"/>
    <w:rsid w:val="7BDE662C"/>
    <w:rsid w:val="7C380D3A"/>
    <w:rsid w:val="7E534DDF"/>
    <w:rsid w:val="7F1125A2"/>
    <w:rsid w:val="7F910E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样式 标题 1 + 黑体 三号 居中 + 行距: 1.5 倍行距1"/>
    <w:basedOn w:val="8"/>
    <w:uiPriority w:val="0"/>
    <w:pPr>
      <w:spacing w:line="360" w:lineRule="auto"/>
    </w:pPr>
  </w:style>
  <w:style w:type="paragraph" w:customStyle="1" w:styleId="8">
    <w:name w:val="样式 标题 1 + 黑体 三号 居中"/>
    <w:basedOn w:val="2"/>
    <w:qFormat/>
    <w:uiPriority w:val="0"/>
    <w:pPr>
      <w:jc w:val="center"/>
    </w:pPr>
    <w:rPr>
      <w:rFonts w:ascii="黑体" w:eastAsia="黑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2017-06-13T03:03:00Z</dcterms:created>
  <dc:creator>Windows 7</dc:creator>
  <cp:lastModifiedBy>Windows 7</cp:lastModifiedBy>
  <dcterms:modified xsi:type="dcterms:W3CDTF">2017-06-14T01:48:17Z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